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78" w:rsidRDefault="001F1278" w:rsidP="001F12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1F1278" w:rsidRDefault="001F1278" w:rsidP="001F12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1F1278" w:rsidRDefault="001F1278" w:rsidP="001F12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1F1278" w:rsidRDefault="001F1278" w:rsidP="001F12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1F1278" w:rsidRDefault="001F1278" w:rsidP="001F1278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1F1278" w:rsidRDefault="001F1278" w:rsidP="001F1278">
      <w:pPr>
        <w:jc w:val="center"/>
        <w:rPr>
          <w:b/>
          <w:bCs/>
        </w:rPr>
      </w:pPr>
    </w:p>
    <w:p w:rsidR="001F1278" w:rsidRPr="00EB4D79" w:rsidRDefault="001F1278" w:rsidP="001F1278">
      <w:pPr>
        <w:ind w:left="360"/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Pravila koja se primjenjuju prilikom zapošljavanja radnika broj: 118-09/19 od 27.09.2019. godine, saglasnosti Upravnog odbora broj: 117-09/19 od 27.09.2019. godine, te odluke direktora broj: 426-10/19 od 11.10.2019. godine </w:t>
      </w:r>
    </w:p>
    <w:p w:rsidR="001F1278" w:rsidRPr="00EB4D79" w:rsidRDefault="001F1278" w:rsidP="001F1278">
      <w:pPr>
        <w:jc w:val="center"/>
        <w:rPr>
          <w:b/>
          <w:bCs/>
          <w:sz w:val="23"/>
          <w:szCs w:val="23"/>
        </w:rPr>
      </w:pPr>
    </w:p>
    <w:p w:rsidR="001F1278" w:rsidRPr="00EB4D79" w:rsidRDefault="001F1278" w:rsidP="001F1278">
      <w:pPr>
        <w:ind w:left="360"/>
        <w:rPr>
          <w:sz w:val="23"/>
          <w:szCs w:val="23"/>
        </w:rPr>
      </w:pPr>
      <w:r w:rsidRPr="00EB4D79">
        <w:rPr>
          <w:sz w:val="23"/>
          <w:szCs w:val="23"/>
        </w:rPr>
        <w:t>raspisuje se</w:t>
      </w:r>
    </w:p>
    <w:p w:rsidR="001F1278" w:rsidRDefault="001F1278" w:rsidP="001F127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1F1278" w:rsidRDefault="001F1278" w:rsidP="001F1278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1F1278" w:rsidRDefault="001F1278" w:rsidP="001F1278">
      <w:pPr>
        <w:jc w:val="both"/>
        <w:rPr>
          <w:rFonts w:ascii="Garamond" w:hAnsi="Garamond"/>
          <w:lang w:val="en-GB"/>
        </w:rPr>
      </w:pPr>
    </w:p>
    <w:p w:rsidR="001F1278" w:rsidRDefault="001F1278" w:rsidP="001F1278">
      <w:pPr>
        <w:tabs>
          <w:tab w:val="left" w:leader="dot" w:pos="5670"/>
        </w:tabs>
        <w:jc w:val="both"/>
        <w:rPr>
          <w:b/>
        </w:rPr>
      </w:pPr>
    </w:p>
    <w:p w:rsidR="001F1278" w:rsidRDefault="001F1278" w:rsidP="001F1278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F8AA7" wp14:editId="6096D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F1278" w:rsidRPr="00E10E2E" w:rsidRDefault="001F1278" w:rsidP="001F1278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1F1278" w:rsidRPr="00E10E2E" w:rsidRDefault="001F1278" w:rsidP="001F1278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 xml:space="preserve">. </w:t>
      </w:r>
      <w:r>
        <w:rPr>
          <w:b/>
        </w:rPr>
        <w:t>Doktor medicine</w:t>
      </w:r>
      <w:r>
        <w:t xml:space="preserve"> </w:t>
      </w:r>
      <w:r w:rsidRPr="009B5DC3">
        <w:rPr>
          <w:b/>
        </w:rPr>
        <w:tab/>
      </w:r>
      <w:r>
        <w:t>1 izvršilac</w:t>
      </w:r>
    </w:p>
    <w:p w:rsidR="001F1278" w:rsidRDefault="001F1278" w:rsidP="001F1278">
      <w:pPr>
        <w:tabs>
          <w:tab w:val="left" w:leader="dot" w:pos="5670"/>
        </w:tabs>
        <w:jc w:val="both"/>
      </w:pPr>
    </w:p>
    <w:p w:rsidR="001F1278" w:rsidRPr="00EB4D79" w:rsidRDefault="001F1278" w:rsidP="001F1278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status: 1 izvršilac na određeno vrijeme u trajanju od 12 mjeseci</w:t>
      </w:r>
    </w:p>
    <w:p w:rsidR="001F1278" w:rsidRPr="00EB4D79" w:rsidRDefault="001F1278" w:rsidP="001F1278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>probni rad: 3 mjeseca</w:t>
      </w:r>
    </w:p>
    <w:p w:rsidR="001F1278" w:rsidRPr="00EB4D79" w:rsidRDefault="001F1278" w:rsidP="001F1278">
      <w:pPr>
        <w:tabs>
          <w:tab w:val="left" w:leader="dot" w:pos="5670"/>
        </w:tabs>
        <w:jc w:val="both"/>
        <w:rPr>
          <w:sz w:val="23"/>
          <w:szCs w:val="23"/>
        </w:rPr>
      </w:pPr>
      <w:r w:rsidRPr="00EB4D79">
        <w:rPr>
          <w:sz w:val="23"/>
          <w:szCs w:val="23"/>
        </w:rPr>
        <w:t xml:space="preserve">kratak opis poslova: </w:t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obavlja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</w:t>
      </w:r>
      <w:proofErr w:type="spellEnd"/>
      <w:r w:rsidRPr="001F1278">
        <w:rPr>
          <w:rFonts w:ascii="Garamond" w:hAnsi="Garamond"/>
          <w:lang w:val="en-GB"/>
        </w:rPr>
        <w:t xml:space="preserve"> (</w:t>
      </w:r>
      <w:proofErr w:type="spellStart"/>
      <w:r w:rsidRPr="001F1278">
        <w:rPr>
          <w:rFonts w:ascii="Garamond" w:hAnsi="Garamond"/>
          <w:lang w:val="en-GB"/>
        </w:rPr>
        <w:t>prvi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ponovni</w:t>
      </w:r>
      <w:proofErr w:type="spellEnd"/>
      <w:r w:rsidRPr="001F1278">
        <w:rPr>
          <w:rFonts w:ascii="Garamond" w:hAnsi="Garamond"/>
          <w:lang w:val="en-GB"/>
        </w:rPr>
        <w:t xml:space="preserve">)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utvrđuje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daje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nalog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za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obavljanje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laboratorijskih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pretraga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konsultativno-specijalističkih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pregleda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sa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ciljem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utvrđivanja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konačne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dijagnoze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>,</w:t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  <w:r w:rsidRPr="001F1278">
        <w:rPr>
          <w:rFonts w:ascii="Garamond" w:hAnsi="Garamond"/>
          <w:lang w:val="en-GB"/>
        </w:rPr>
        <w:tab/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propisuje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terapiju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prati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kontroliše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tok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liječenja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pacijenata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po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potrebi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pruža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prvu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hitnu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pomoć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r w:rsidRPr="001F1278">
        <w:rPr>
          <w:rFonts w:ascii="Garamond" w:hAnsi="Garamond"/>
          <w:lang w:val="en-GB"/>
        </w:rPr>
        <w:t>vodi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propisanu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medicinsku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dokumentaciju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evidenciju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izvještaje</w:t>
      </w:r>
      <w:proofErr w:type="spellEnd"/>
      <w:r w:rsidRPr="001F1278">
        <w:rPr>
          <w:rFonts w:ascii="Garamond" w:hAnsi="Garamond"/>
          <w:lang w:val="en-GB"/>
        </w:rPr>
        <w:t>,</w:t>
      </w:r>
    </w:p>
    <w:p w:rsidR="001F1278" w:rsidRPr="001F1278" w:rsidRDefault="001F1278" w:rsidP="001F1278">
      <w:pPr>
        <w:numPr>
          <w:ilvl w:val="0"/>
          <w:numId w:val="3"/>
        </w:numPr>
        <w:contextualSpacing/>
        <w:rPr>
          <w:rFonts w:ascii="Garamond" w:hAnsi="Garamond"/>
          <w:lang w:val="en-GB"/>
        </w:rPr>
      </w:pPr>
      <w:proofErr w:type="spellStart"/>
      <w:proofErr w:type="gramStart"/>
      <w:r w:rsidRPr="001F1278">
        <w:rPr>
          <w:rFonts w:ascii="Garamond" w:hAnsi="Garamond"/>
          <w:lang w:val="en-GB"/>
        </w:rPr>
        <w:t>upisuje</w:t>
      </w:r>
      <w:proofErr w:type="spellEnd"/>
      <w:proofErr w:type="gramEnd"/>
      <w:r w:rsidRPr="001F1278">
        <w:rPr>
          <w:rFonts w:ascii="Garamond" w:hAnsi="Garamond"/>
          <w:lang w:val="en-GB"/>
        </w:rPr>
        <w:t xml:space="preserve"> u </w:t>
      </w:r>
      <w:proofErr w:type="spellStart"/>
      <w:r w:rsidRPr="001F1278">
        <w:rPr>
          <w:rFonts w:ascii="Garamond" w:hAnsi="Garamond"/>
          <w:lang w:val="en-GB"/>
        </w:rPr>
        <w:t>zdravstveni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karton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 xml:space="preserve"> o </w:t>
      </w:r>
      <w:proofErr w:type="spellStart"/>
      <w:r w:rsidRPr="001F1278">
        <w:rPr>
          <w:rFonts w:ascii="Garamond" w:hAnsi="Garamond"/>
          <w:lang w:val="en-GB"/>
        </w:rPr>
        <w:t>bolesti</w:t>
      </w:r>
      <w:proofErr w:type="spellEnd"/>
      <w:r w:rsidRPr="001F1278">
        <w:rPr>
          <w:rFonts w:ascii="Garamond" w:hAnsi="Garamond"/>
          <w:lang w:val="en-GB"/>
        </w:rPr>
        <w:t xml:space="preserve">: </w:t>
      </w:r>
      <w:proofErr w:type="spellStart"/>
      <w:r w:rsidRPr="001F1278">
        <w:rPr>
          <w:rFonts w:ascii="Garamond" w:hAnsi="Garamond"/>
          <w:lang w:val="en-GB"/>
        </w:rPr>
        <w:t>dijagnoza</w:t>
      </w:r>
      <w:proofErr w:type="spellEnd"/>
      <w:r w:rsidRPr="001F1278">
        <w:rPr>
          <w:rFonts w:ascii="Garamond" w:hAnsi="Garamond"/>
          <w:lang w:val="en-GB"/>
        </w:rPr>
        <w:t xml:space="preserve">, </w:t>
      </w:r>
      <w:proofErr w:type="spellStart"/>
      <w:r w:rsidRPr="001F1278">
        <w:rPr>
          <w:rFonts w:ascii="Garamond" w:hAnsi="Garamond"/>
          <w:lang w:val="en-GB"/>
        </w:rPr>
        <w:t>šifra</w:t>
      </w:r>
      <w:proofErr w:type="spellEnd"/>
      <w:r w:rsidRPr="001F1278">
        <w:rPr>
          <w:rFonts w:ascii="Garamond" w:hAnsi="Garamond"/>
          <w:lang w:val="en-GB"/>
        </w:rPr>
        <w:t xml:space="preserve"> i </w:t>
      </w:r>
      <w:proofErr w:type="spellStart"/>
      <w:r w:rsidRPr="001F1278">
        <w:rPr>
          <w:rFonts w:ascii="Garamond" w:hAnsi="Garamond"/>
          <w:lang w:val="en-GB"/>
        </w:rPr>
        <w:t>druge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bitne</w:t>
      </w:r>
      <w:proofErr w:type="spellEnd"/>
      <w:r w:rsidRPr="001F1278">
        <w:rPr>
          <w:rFonts w:ascii="Garamond" w:hAnsi="Garamond"/>
          <w:lang w:val="en-GB"/>
        </w:rPr>
        <w:t xml:space="preserve"> </w:t>
      </w:r>
      <w:proofErr w:type="spellStart"/>
      <w:r w:rsidRPr="001F1278">
        <w:rPr>
          <w:rFonts w:ascii="Garamond" w:hAnsi="Garamond"/>
          <w:lang w:val="en-GB"/>
        </w:rPr>
        <w:t>podatke</w:t>
      </w:r>
      <w:proofErr w:type="spellEnd"/>
      <w:r w:rsidRPr="001F1278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1F1278" w:rsidRDefault="001F1278" w:rsidP="001F1278">
      <w:pPr>
        <w:rPr>
          <w:rFonts w:ascii="Garamond" w:hAnsi="Garamond"/>
          <w:lang w:val="en-GB"/>
        </w:rPr>
      </w:pPr>
    </w:p>
    <w:p w:rsidR="001F1278" w:rsidRDefault="001F1278" w:rsidP="001F1278">
      <w:pPr>
        <w:pStyle w:val="ListParagraph"/>
        <w:rPr>
          <w:b/>
          <w:bCs/>
        </w:rPr>
      </w:pPr>
      <w:r>
        <w:rPr>
          <w:b/>
          <w:bCs/>
        </w:rPr>
        <w:t xml:space="preserve">Visina osnovne plate: cca </w:t>
      </w:r>
      <w:r w:rsidR="00E47923">
        <w:rPr>
          <w:b/>
          <w:bCs/>
        </w:rPr>
        <w:t>1.718</w:t>
      </w:r>
      <w:r>
        <w:rPr>
          <w:b/>
          <w:bCs/>
        </w:rPr>
        <w:t>,00 KM</w:t>
      </w:r>
    </w:p>
    <w:p w:rsidR="001F1278" w:rsidRDefault="001F1278" w:rsidP="001F1278">
      <w:pPr>
        <w:pStyle w:val="ListParagraph"/>
        <w:rPr>
          <w:b/>
          <w:bCs/>
        </w:rPr>
      </w:pPr>
    </w:p>
    <w:p w:rsidR="001F1278" w:rsidRDefault="001F1278" w:rsidP="001F1278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1F1278" w:rsidRDefault="001F1278" w:rsidP="001F1278">
      <w:pPr>
        <w:pStyle w:val="ListParagraph"/>
        <w:rPr>
          <w:b/>
          <w:bCs/>
        </w:rPr>
      </w:pPr>
    </w:p>
    <w:p w:rsidR="001F1278" w:rsidRDefault="001F1278" w:rsidP="001F1278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1F1278" w:rsidRPr="00D00789" w:rsidRDefault="001F1278" w:rsidP="001F1278">
      <w:pPr>
        <w:pStyle w:val="ListParagraph"/>
        <w:rPr>
          <w:b/>
          <w:bCs/>
        </w:rPr>
      </w:pPr>
    </w:p>
    <w:p w:rsidR="001F1278" w:rsidRPr="00EB4D79" w:rsidRDefault="001F1278" w:rsidP="001F127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je kandidat državljanin BiH stariji od 15 godina</w:t>
      </w:r>
    </w:p>
    <w:p w:rsidR="001F1278" w:rsidRPr="00EB4D79" w:rsidRDefault="001F1278" w:rsidP="001F1278">
      <w:pPr>
        <w:pStyle w:val="ListParagraph"/>
        <w:numPr>
          <w:ilvl w:val="0"/>
          <w:numId w:val="1"/>
        </w:num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da ima opću zdravstvenu sposobnost</w:t>
      </w:r>
    </w:p>
    <w:p w:rsidR="001F1278" w:rsidRDefault="001F1278" w:rsidP="001F1278">
      <w:pPr>
        <w:tabs>
          <w:tab w:val="left" w:leader="dot" w:pos="5670"/>
        </w:tabs>
        <w:jc w:val="both"/>
      </w:pPr>
    </w:p>
    <w:p w:rsidR="001F1278" w:rsidRDefault="001F1278" w:rsidP="001F1278">
      <w:pPr>
        <w:tabs>
          <w:tab w:val="left" w:leader="dot" w:pos="5670"/>
        </w:tabs>
        <w:jc w:val="both"/>
      </w:pPr>
    </w:p>
    <w:p w:rsidR="001F1278" w:rsidRDefault="001F1278" w:rsidP="001F1278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="007D21B6">
        <w:rPr>
          <w:b/>
        </w:rPr>
        <w:t>Doktor medicine:</w:t>
      </w:r>
    </w:p>
    <w:p w:rsidR="00C15616" w:rsidRPr="001B5FB2" w:rsidRDefault="00C15616" w:rsidP="001F1278">
      <w:pPr>
        <w:pStyle w:val="ListParagraph"/>
        <w:ind w:left="0"/>
        <w:rPr>
          <w:b/>
        </w:rPr>
      </w:pPr>
    </w:p>
    <w:p w:rsidR="001F1278" w:rsidRPr="00EB4D79" w:rsidRDefault="007D21B6" w:rsidP="001F1278">
      <w:pPr>
        <w:rPr>
          <w:sz w:val="23"/>
          <w:szCs w:val="23"/>
          <w:lang w:val="en-GB"/>
        </w:rPr>
      </w:pPr>
      <w:r w:rsidRPr="00EB4D79">
        <w:rPr>
          <w:sz w:val="23"/>
          <w:szCs w:val="23"/>
          <w:lang w:val="en-GB"/>
        </w:rPr>
        <w:t xml:space="preserve">-VSS, </w:t>
      </w:r>
      <w:proofErr w:type="spellStart"/>
      <w:r w:rsidRPr="00EB4D79">
        <w:rPr>
          <w:sz w:val="23"/>
          <w:szCs w:val="23"/>
          <w:lang w:val="en-GB"/>
        </w:rPr>
        <w:t>zanimanje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doktor</w:t>
      </w:r>
      <w:proofErr w:type="spellEnd"/>
      <w:r w:rsidRPr="00EB4D79">
        <w:rPr>
          <w:sz w:val="23"/>
          <w:szCs w:val="23"/>
          <w:lang w:val="en-GB"/>
        </w:rPr>
        <w:t xml:space="preserve"> medicine, </w:t>
      </w:r>
      <w:proofErr w:type="spellStart"/>
      <w:r w:rsidRPr="00EB4D79">
        <w:rPr>
          <w:sz w:val="23"/>
          <w:szCs w:val="23"/>
          <w:lang w:val="en-GB"/>
        </w:rPr>
        <w:t>položen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stručni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ispit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poznavanje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rada</w:t>
      </w:r>
      <w:proofErr w:type="spellEnd"/>
      <w:r w:rsidRPr="00EB4D79">
        <w:rPr>
          <w:sz w:val="23"/>
          <w:szCs w:val="23"/>
          <w:lang w:val="en-GB"/>
        </w:rPr>
        <w:t xml:space="preserve"> </w:t>
      </w:r>
      <w:proofErr w:type="spellStart"/>
      <w:proofErr w:type="gramStart"/>
      <w:r w:rsidRPr="00EB4D79">
        <w:rPr>
          <w:sz w:val="23"/>
          <w:szCs w:val="23"/>
          <w:lang w:val="en-GB"/>
        </w:rPr>
        <w:t>na</w:t>
      </w:r>
      <w:proofErr w:type="spellEnd"/>
      <w:proofErr w:type="gramEnd"/>
      <w:r w:rsidRPr="00EB4D79">
        <w:rPr>
          <w:sz w:val="23"/>
          <w:szCs w:val="23"/>
          <w:lang w:val="en-GB"/>
        </w:rPr>
        <w:t xml:space="preserve"> </w:t>
      </w:r>
      <w:proofErr w:type="spellStart"/>
      <w:r w:rsidRPr="00EB4D79">
        <w:rPr>
          <w:sz w:val="23"/>
          <w:szCs w:val="23"/>
          <w:lang w:val="en-GB"/>
        </w:rPr>
        <w:t>računaru</w:t>
      </w:r>
      <w:proofErr w:type="spellEnd"/>
      <w:r w:rsidRPr="00EB4D79">
        <w:rPr>
          <w:sz w:val="23"/>
          <w:szCs w:val="23"/>
          <w:lang w:val="en-GB"/>
        </w:rPr>
        <w:t xml:space="preserve">, </w:t>
      </w:r>
      <w:proofErr w:type="spellStart"/>
      <w:r w:rsidRPr="00EB4D79">
        <w:rPr>
          <w:sz w:val="23"/>
          <w:szCs w:val="23"/>
          <w:lang w:val="en-GB"/>
        </w:rPr>
        <w:t>probni</w:t>
      </w:r>
      <w:proofErr w:type="spellEnd"/>
      <w:r w:rsidRPr="00EB4D79">
        <w:rPr>
          <w:sz w:val="23"/>
          <w:szCs w:val="23"/>
          <w:lang w:val="en-GB"/>
        </w:rPr>
        <w:t xml:space="preserve"> rad 3 </w:t>
      </w:r>
      <w:proofErr w:type="spellStart"/>
      <w:r w:rsidRPr="00EB4D79">
        <w:rPr>
          <w:sz w:val="23"/>
          <w:szCs w:val="23"/>
          <w:lang w:val="en-GB"/>
        </w:rPr>
        <w:t>mjeseca</w:t>
      </w:r>
      <w:proofErr w:type="spellEnd"/>
      <w:r w:rsidR="001F1278" w:rsidRPr="00EB4D79">
        <w:rPr>
          <w:sz w:val="23"/>
          <w:szCs w:val="23"/>
          <w:lang w:val="en-GB"/>
        </w:rPr>
        <w:tab/>
      </w:r>
    </w:p>
    <w:p w:rsidR="000A71ED" w:rsidRPr="007D21B6" w:rsidRDefault="000A71ED" w:rsidP="001F1278">
      <w:pPr>
        <w:rPr>
          <w:lang w:val="en-GB"/>
        </w:rPr>
      </w:pPr>
    </w:p>
    <w:p w:rsidR="000A71ED" w:rsidRDefault="000A71ED" w:rsidP="001F1278">
      <w:pPr>
        <w:pStyle w:val="ListParagraph"/>
        <w:ind w:left="705"/>
        <w:rPr>
          <w:b/>
          <w:bCs/>
        </w:rPr>
      </w:pPr>
    </w:p>
    <w:p w:rsidR="000A71ED" w:rsidRDefault="000A71ED" w:rsidP="001F1278">
      <w:pPr>
        <w:pStyle w:val="ListParagraph"/>
        <w:ind w:left="705"/>
        <w:rPr>
          <w:b/>
          <w:bCs/>
        </w:rPr>
      </w:pPr>
    </w:p>
    <w:p w:rsidR="000A71ED" w:rsidRDefault="000A71ED" w:rsidP="001F1278">
      <w:pPr>
        <w:pStyle w:val="ListParagraph"/>
        <w:ind w:left="705"/>
        <w:rPr>
          <w:b/>
          <w:bCs/>
        </w:rPr>
      </w:pPr>
    </w:p>
    <w:p w:rsidR="001F1278" w:rsidRDefault="001F1278" w:rsidP="001F1278">
      <w:pPr>
        <w:pStyle w:val="ListParagraph"/>
        <w:ind w:left="705"/>
        <w:rPr>
          <w:b/>
          <w:bCs/>
        </w:rPr>
      </w:pPr>
      <w:r>
        <w:rPr>
          <w:b/>
          <w:bCs/>
        </w:rPr>
        <w:lastRenderedPageBreak/>
        <w:t xml:space="preserve">Dokazi koji se dostavljaju </w:t>
      </w:r>
      <w:r w:rsidRPr="000A71ED">
        <w:rPr>
          <w:b/>
          <w:bCs/>
          <w:u w:val="single"/>
        </w:rPr>
        <w:t>uz prijavu</w:t>
      </w:r>
      <w:r>
        <w:rPr>
          <w:b/>
          <w:bCs/>
        </w:rPr>
        <w:t xml:space="preserve"> na javni oglas:</w:t>
      </w:r>
    </w:p>
    <w:p w:rsidR="001F1278" w:rsidRPr="00EB4D79" w:rsidRDefault="001F1278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0A71ED" w:rsidRPr="00EB4D79" w:rsidRDefault="001F1278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Diploma o završeno</w:t>
      </w:r>
      <w:r w:rsidR="000A71ED" w:rsidRPr="00EB4D79">
        <w:rPr>
          <w:sz w:val="23"/>
          <w:szCs w:val="23"/>
          <w:lang w:eastAsia="bs-Latn-BA"/>
        </w:rPr>
        <w:t>j visokoj stručnoj spremi (VSS-Medicinski fakultet)</w:t>
      </w:r>
      <w:r w:rsidRPr="00EB4D79">
        <w:rPr>
          <w:sz w:val="23"/>
          <w:szCs w:val="23"/>
          <w:lang w:eastAsia="bs-Latn-BA"/>
        </w:rPr>
        <w:t xml:space="preserve"> </w:t>
      </w:r>
    </w:p>
    <w:p w:rsidR="000A71ED" w:rsidRPr="00EB4D79" w:rsidRDefault="000A71ED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položenom stručnom ispitu</w:t>
      </w:r>
    </w:p>
    <w:p w:rsidR="000A71ED" w:rsidRPr="00EB4D79" w:rsidRDefault="000A71ED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Dokaz o poznavanju rada na računaru</w:t>
      </w:r>
    </w:p>
    <w:p w:rsidR="001F1278" w:rsidRPr="00EB4D79" w:rsidRDefault="001F1278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1F1278" w:rsidRPr="00EB4D79" w:rsidRDefault="001F1278" w:rsidP="001F1278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7E223F" w:rsidRPr="00EB4D79" w:rsidRDefault="00527518" w:rsidP="00C15616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</w:t>
      </w:r>
      <w:r w:rsidR="007E223F" w:rsidRPr="00EB4D79">
        <w:rPr>
          <w:sz w:val="23"/>
          <w:szCs w:val="23"/>
          <w:lang w:eastAsia="bs-Latn-BA"/>
        </w:rPr>
        <w:t xml:space="preserve">opštih i posebnih </w:t>
      </w:r>
      <w:r w:rsidRPr="00EB4D79">
        <w:rPr>
          <w:sz w:val="23"/>
          <w:szCs w:val="23"/>
          <w:lang w:eastAsia="bs-Latn-BA"/>
        </w:rPr>
        <w:t>uslova</w:t>
      </w:r>
      <w:r w:rsidR="007E223F" w:rsidRPr="00EB4D79">
        <w:rPr>
          <w:sz w:val="23"/>
          <w:szCs w:val="23"/>
          <w:lang w:eastAsia="bs-Latn-BA"/>
        </w:rPr>
        <w:t xml:space="preserve"> predviđenih Pravilnikom o radu </w:t>
      </w:r>
      <w:r w:rsidRPr="00EB4D79">
        <w:rPr>
          <w:sz w:val="23"/>
          <w:szCs w:val="23"/>
          <w:lang w:eastAsia="bs-Latn-BA"/>
        </w:rPr>
        <w:t xml:space="preserve">za prijem u radni odnos na radno mjesto Doktor medicine u JZU </w:t>
      </w:r>
      <w:r w:rsidR="007E223F" w:rsidRPr="00EB4D79">
        <w:rPr>
          <w:sz w:val="23"/>
          <w:szCs w:val="23"/>
          <w:lang w:eastAsia="bs-Latn-BA"/>
        </w:rPr>
        <w:t>BRC</w:t>
      </w:r>
      <w:r w:rsidRPr="00EB4D79">
        <w:rPr>
          <w:sz w:val="23"/>
          <w:szCs w:val="23"/>
          <w:lang w:eastAsia="bs-Latn-BA"/>
        </w:rPr>
        <w:t xml:space="preserve"> „AQUATERM“ OLOVO. </w:t>
      </w:r>
    </w:p>
    <w:p w:rsidR="001F1278" w:rsidRPr="00EB4D79" w:rsidRDefault="001F1278" w:rsidP="001F1278">
      <w:pPr>
        <w:jc w:val="both"/>
        <w:rPr>
          <w:bCs/>
          <w:sz w:val="23"/>
          <w:szCs w:val="23"/>
        </w:rPr>
      </w:pPr>
    </w:p>
    <w:p w:rsidR="000A71ED" w:rsidRPr="00EB4D79" w:rsidRDefault="000A71ED" w:rsidP="001F1278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Postupak izbora kandidata za radna mjesta za koja je kao uslov propisano više ili visoko obrazovanje, zasniva se na razmatranju dostavljene dokumentacije, te održanom pismenom i usmenom stručnom ispitu sa svakim od kandidata.</w:t>
      </w:r>
    </w:p>
    <w:p w:rsidR="000A71ED" w:rsidRPr="00EB4D79" w:rsidRDefault="000A71ED" w:rsidP="001F1278">
      <w:pPr>
        <w:jc w:val="both"/>
        <w:rPr>
          <w:sz w:val="23"/>
          <w:szCs w:val="23"/>
        </w:rPr>
      </w:pPr>
    </w:p>
    <w:p w:rsidR="001F1278" w:rsidRPr="00EB4D79" w:rsidRDefault="000A71ED" w:rsidP="001F1278">
      <w:pPr>
        <w:jc w:val="both"/>
        <w:rPr>
          <w:bCs/>
          <w:sz w:val="23"/>
          <w:szCs w:val="23"/>
        </w:rPr>
      </w:pPr>
      <w:r w:rsidRPr="00EB4D79">
        <w:rPr>
          <w:sz w:val="23"/>
          <w:szCs w:val="23"/>
        </w:rPr>
        <w:t xml:space="preserve"> </w:t>
      </w:r>
      <w:r w:rsidR="001F1278"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DF7D55" w:rsidRDefault="00DF7D55" w:rsidP="001F1278">
      <w:pPr>
        <w:jc w:val="both"/>
        <w:rPr>
          <w:bCs/>
        </w:rPr>
      </w:pPr>
    </w:p>
    <w:p w:rsidR="00527518" w:rsidRPr="00527518" w:rsidRDefault="00527518" w:rsidP="00527518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Stručna sprema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1.1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VSS (najmanje VII/1 ili drugi studijski ciklus, </w:t>
            </w:r>
          </w:p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 najmanje 300 ECTS bodova)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1.2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 prvi studijski ciklus visokog obrazovanja,</w:t>
            </w:r>
          </w:p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 s 240 ECTS bodova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1.3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završen prvi studijski ciklus visokog obrazovanja, </w:t>
            </w:r>
          </w:p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sa 180 ECTS bodova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1.4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VŠS (VI/1)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1.5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V stepen VKV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1.6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(IV stepen)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1.7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SSS (III stepen)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1.8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završena osnovna škola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položen stručni ispit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čekanje na posao nakon stjecanja stručne spreme tražene javnim oglasom (bodovi se ostvaruju na osnovu evidencije Biroa za zapošljavanje), i to: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4.1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4.2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4.3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4.4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4.5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5.1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5.2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5.3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5.4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5.5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6.1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6.2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6.3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6.4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6.5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7.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527518" w:rsidRPr="00527518" w:rsidTr="009618DF">
        <w:tc>
          <w:tcPr>
            <w:tcW w:w="625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8.</w:t>
            </w:r>
          </w:p>
        </w:tc>
        <w:tc>
          <w:tcPr>
            <w:tcW w:w="7013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527518" w:rsidRPr="00527518" w:rsidRDefault="00527518" w:rsidP="00527518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527518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C15616" w:rsidRPr="00EB4D79" w:rsidRDefault="00C15616" w:rsidP="00C15616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kriterija. Dokaz je potvrda, rješenje, uvjerenje ili sličan dokument izdat od strane nadležnog organa (evidencija Biroa za zapošljavanje, dokaz o radnom iskustvu od prethodnog poslodavca, službe za pitanja branilaca i njihovih porodica i sl.).</w:t>
      </w:r>
    </w:p>
    <w:p w:rsidR="00C15616" w:rsidRPr="00EB4D79" w:rsidRDefault="00C15616" w:rsidP="00C15616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Sve dokumente dostaviti u originalu ili ovjerenoj fotokopiji, ne starijoj od 6 mjeseci.</w:t>
      </w:r>
    </w:p>
    <w:p w:rsidR="00C15616" w:rsidRPr="00EB4D79" w:rsidRDefault="00C15616" w:rsidP="001F1278">
      <w:pPr>
        <w:jc w:val="both"/>
        <w:rPr>
          <w:bCs/>
          <w:sz w:val="23"/>
          <w:szCs w:val="23"/>
        </w:rPr>
      </w:pPr>
    </w:p>
    <w:p w:rsidR="001F1278" w:rsidRPr="00EB4D79" w:rsidRDefault="001F1278" w:rsidP="001F1278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Kandidatima čija prijava na javni oglas ne bude prihvaćena, dostavljena dokumentacija će se vratiti.</w:t>
      </w:r>
    </w:p>
    <w:p w:rsidR="001F1278" w:rsidRPr="00EB4D79" w:rsidRDefault="001F1278" w:rsidP="001F1278">
      <w:pPr>
        <w:jc w:val="both"/>
        <w:rPr>
          <w:bCs/>
          <w:sz w:val="23"/>
          <w:szCs w:val="23"/>
        </w:rPr>
      </w:pPr>
    </w:p>
    <w:p w:rsidR="001F1278" w:rsidRPr="00EB4D79" w:rsidRDefault="001F1278" w:rsidP="001F1278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1F1278" w:rsidRPr="00EB4D79" w:rsidRDefault="001F1278" w:rsidP="001F1278">
      <w:pPr>
        <w:rPr>
          <w:bCs/>
          <w:sz w:val="23"/>
          <w:szCs w:val="23"/>
        </w:rPr>
      </w:pPr>
    </w:p>
    <w:p w:rsidR="001F1278" w:rsidRPr="00EB4D79" w:rsidRDefault="001F1278" w:rsidP="001F1278">
      <w:pPr>
        <w:jc w:val="both"/>
        <w:rPr>
          <w:b/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Prijave sa potrebnom dokumentacijom kojom se dokazuje ispunjavanje propisanih uslova dostavljaju se putem pošte u zatvorenoj koverti Komisiji za izbor na sljedeću adresu:</w:t>
      </w:r>
      <w:r w:rsidRPr="00EB4D79">
        <w:rPr>
          <w:sz w:val="23"/>
          <w:szCs w:val="23"/>
          <w:lang w:eastAsia="bs-Latn-BA"/>
        </w:rPr>
        <w:br/>
        <w:t> </w:t>
      </w:r>
    </w:p>
    <w:p w:rsidR="001F1278" w:rsidRPr="00B01CE3" w:rsidRDefault="001F1278" w:rsidP="001F1278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1F1278" w:rsidRPr="00B01CE3" w:rsidRDefault="001F1278" w:rsidP="001F1278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1F1278" w:rsidRDefault="001F1278" w:rsidP="001F1278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1F1278" w:rsidRPr="00B01CE3" w:rsidRDefault="001F1278" w:rsidP="001F1278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1F1278" w:rsidRDefault="001F1278" w:rsidP="001F1278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 xml:space="preserve">javni oglas za radno mjesto </w:t>
      </w:r>
      <w:r w:rsidR="006A7552">
        <w:rPr>
          <w:b/>
          <w:lang w:eastAsia="bs-Latn-BA"/>
        </w:rPr>
        <w:t>„Doktor medicine“</w:t>
      </w:r>
      <w:r>
        <w:rPr>
          <w:b/>
          <w:lang w:eastAsia="bs-Latn-BA"/>
        </w:rPr>
        <w:t>)</w:t>
      </w:r>
    </w:p>
    <w:p w:rsidR="001F1278" w:rsidRDefault="001F1278" w:rsidP="001F1278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1F1278" w:rsidRPr="00EB4D79" w:rsidRDefault="001F1278" w:rsidP="001F1278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Javni oglas ostaje otvoren osam (8) dana od dana posljednjeg objavljivanja.</w:t>
      </w:r>
    </w:p>
    <w:p w:rsidR="001F1278" w:rsidRPr="00EB4D79" w:rsidRDefault="001F1278" w:rsidP="001F1278">
      <w:pPr>
        <w:rPr>
          <w:b/>
          <w:bCs/>
          <w:sz w:val="23"/>
          <w:szCs w:val="23"/>
        </w:rPr>
      </w:pPr>
      <w:bookmarkStart w:id="0" w:name="_GoBack"/>
      <w:bookmarkEnd w:id="0"/>
    </w:p>
    <w:p w:rsidR="001F1278" w:rsidRPr="00EB4D79" w:rsidRDefault="001F1278" w:rsidP="001F1278">
      <w:pPr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Neuredne, nepotpune i neblagovremene prijave neće se uzeti u razmatranje.</w:t>
      </w:r>
    </w:p>
    <w:p w:rsidR="001F1278" w:rsidRPr="00EB4D79" w:rsidRDefault="001F1278" w:rsidP="001F1278">
      <w:pPr>
        <w:rPr>
          <w:bCs/>
          <w:sz w:val="23"/>
          <w:szCs w:val="23"/>
        </w:rPr>
      </w:pPr>
    </w:p>
    <w:p w:rsidR="001F1278" w:rsidRPr="00EB4D79" w:rsidRDefault="001F1278" w:rsidP="001F1278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>Poslodavac ima pravo poništiti javni oglas, usljed opravdanog razloga, ukoliko bi isti mogao prouzrokovati veću štetu poslodavcu od njegovog održavanja na snazi.</w:t>
      </w:r>
    </w:p>
    <w:p w:rsidR="001F1278" w:rsidRPr="00EB4D79" w:rsidRDefault="001F1278" w:rsidP="001F1278">
      <w:pPr>
        <w:jc w:val="both"/>
        <w:rPr>
          <w:sz w:val="23"/>
          <w:szCs w:val="23"/>
        </w:rPr>
      </w:pPr>
    </w:p>
    <w:p w:rsidR="001F1278" w:rsidRPr="00EB4D79" w:rsidRDefault="001F1278" w:rsidP="001F1278">
      <w:pPr>
        <w:jc w:val="both"/>
        <w:rPr>
          <w:sz w:val="23"/>
          <w:szCs w:val="23"/>
        </w:rPr>
      </w:pPr>
      <w:r w:rsidRPr="00EB4D79">
        <w:rPr>
          <w:sz w:val="23"/>
          <w:szCs w:val="23"/>
        </w:rPr>
        <w:t>Dodatne informacije možete dobiti kod Sekretara Ustanove na broj telefona: 032/829-606, Mevla Mešić, dipl. pravnik.</w:t>
      </w:r>
    </w:p>
    <w:p w:rsidR="001F1278" w:rsidRPr="00EB4D79" w:rsidRDefault="001F1278" w:rsidP="001F1278">
      <w:pPr>
        <w:rPr>
          <w:sz w:val="23"/>
          <w:szCs w:val="23"/>
        </w:rPr>
      </w:pPr>
    </w:p>
    <w:p w:rsidR="001F1278" w:rsidRPr="00EB4D79" w:rsidRDefault="001F1278" w:rsidP="001F1278">
      <w:pPr>
        <w:rPr>
          <w:sz w:val="23"/>
          <w:szCs w:val="23"/>
        </w:rPr>
      </w:pPr>
    </w:p>
    <w:p w:rsidR="001F1278" w:rsidRPr="00EB4D79" w:rsidRDefault="001F1278" w:rsidP="001F1278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                                      Direktor:</w:t>
      </w:r>
    </w:p>
    <w:p w:rsidR="00143E1A" w:rsidRPr="00EB4D79" w:rsidRDefault="001F1278">
      <w:pPr>
        <w:rPr>
          <w:sz w:val="23"/>
          <w:szCs w:val="23"/>
        </w:rPr>
      </w:pPr>
      <w:r w:rsidRPr="00EB4D79">
        <w:rPr>
          <w:sz w:val="23"/>
          <w:szCs w:val="23"/>
        </w:rPr>
        <w:t xml:space="preserve">                                                                     Senad Selimović, dr spec. fiz. med. i rehabilitacije</w:t>
      </w:r>
    </w:p>
    <w:sectPr w:rsidR="00143E1A" w:rsidRPr="00EB4D79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B5CAE"/>
    <w:multiLevelType w:val="hybridMultilevel"/>
    <w:tmpl w:val="9768FB32"/>
    <w:lvl w:ilvl="0" w:tplc="9C90E9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78"/>
    <w:rsid w:val="000A71ED"/>
    <w:rsid w:val="00143E1A"/>
    <w:rsid w:val="001F1278"/>
    <w:rsid w:val="002E79BB"/>
    <w:rsid w:val="00527518"/>
    <w:rsid w:val="006A7552"/>
    <w:rsid w:val="007D21B6"/>
    <w:rsid w:val="007E223F"/>
    <w:rsid w:val="008555FF"/>
    <w:rsid w:val="00AC149E"/>
    <w:rsid w:val="00C15616"/>
    <w:rsid w:val="00DF7D55"/>
    <w:rsid w:val="00E47923"/>
    <w:rsid w:val="00E7563D"/>
    <w:rsid w:val="00E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278"/>
    <w:pPr>
      <w:ind w:left="720"/>
      <w:contextualSpacing/>
    </w:pPr>
  </w:style>
  <w:style w:type="paragraph" w:customStyle="1" w:styleId="Default">
    <w:name w:val="Default"/>
    <w:rsid w:val="001F1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278"/>
    <w:pPr>
      <w:ind w:left="720"/>
      <w:contextualSpacing/>
    </w:pPr>
  </w:style>
  <w:style w:type="paragraph" w:customStyle="1" w:styleId="Default">
    <w:name w:val="Default"/>
    <w:rsid w:val="001F12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4D2A-F82A-4A24-9F1A-F65B92A7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2019-10-11T12:22:00Z</cp:lastPrinted>
  <dcterms:created xsi:type="dcterms:W3CDTF">2019-10-11T09:37:00Z</dcterms:created>
  <dcterms:modified xsi:type="dcterms:W3CDTF">2019-10-11T12:44:00Z</dcterms:modified>
</cp:coreProperties>
</file>